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4D6C92" w14:textId="77777777" w:rsidR="00CA0100" w:rsidRDefault="00CA0100" w:rsidP="00883B5C">
      <w:pPr>
        <w:pStyle w:val="a3"/>
        <w:snapToGrid w:val="0"/>
        <w:ind w:left="0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>
        <w:rPr>
          <w:rFonts w:ascii="Times New Roman" w:hAnsi="Times New Roman" w:cs="Times New Roman" w:hint="eastAsia"/>
          <w:b/>
          <w:snapToGrid w:val="0"/>
          <w:kern w:val="2"/>
          <w:sz w:val="28"/>
        </w:rPr>
        <w:t>N</w:t>
      </w:r>
      <w:r>
        <w:rPr>
          <w:rFonts w:ascii="Times New Roman" w:hAnsi="Times New Roman" w:cs="Times New Roman"/>
          <w:b/>
          <w:snapToGrid w:val="0"/>
          <w:kern w:val="2"/>
          <w:sz w:val="28"/>
        </w:rPr>
        <w:t>ATIONAL CHUNG HSING UNIVERSITY</w:t>
      </w:r>
    </w:p>
    <w:p w14:paraId="5B4B0543" w14:textId="77777777" w:rsidR="00CA0100" w:rsidRDefault="00CA0100" w:rsidP="00883B5C">
      <w:pPr>
        <w:pStyle w:val="a3"/>
        <w:snapToGrid w:val="0"/>
        <w:ind w:left="0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>
        <w:rPr>
          <w:rFonts w:ascii="Times New Roman" w:hAnsi="Times New Roman" w:cs="Times New Roman"/>
          <w:b/>
          <w:snapToGrid w:val="0"/>
          <w:kern w:val="2"/>
          <w:sz w:val="28"/>
        </w:rPr>
        <w:t xml:space="preserve">Faculty Secondment </w:t>
      </w:r>
      <w:r w:rsidR="004A1893">
        <w:rPr>
          <w:rFonts w:ascii="Times New Roman" w:hAnsi="Times New Roman" w:cs="Times New Roman"/>
          <w:b/>
          <w:snapToGrid w:val="0"/>
          <w:kern w:val="2"/>
          <w:sz w:val="28"/>
        </w:rPr>
        <w:t>Guidelines</w:t>
      </w:r>
    </w:p>
    <w:p w14:paraId="6815CE94" w14:textId="77777777" w:rsidR="00CA0100" w:rsidRDefault="00CA0100" w:rsidP="00883B5C">
      <w:pPr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</w:p>
    <w:p w14:paraId="27A2EB8B" w14:textId="77777777" w:rsidR="00CA0100" w:rsidRPr="00ED55E7" w:rsidRDefault="00CA0100" w:rsidP="00883B5C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December 7, 2001—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27015F">
        <w:rPr>
          <w:rFonts w:ascii="Times New Roman" w:hAnsi="Times New Roman" w:cs="Times New Roman"/>
          <w:snapToGrid w:val="0"/>
          <w:kern w:val="2"/>
          <w:sz w:val="20"/>
        </w:rPr>
        <w:t>P</w:t>
      </w:r>
      <w:r>
        <w:rPr>
          <w:rFonts w:ascii="Times New Roman" w:hAnsi="Times New Roman" w:cs="Times New Roman"/>
          <w:snapToGrid w:val="0"/>
          <w:kern w:val="2"/>
          <w:sz w:val="20"/>
        </w:rPr>
        <w:t>assed by the 41</w:t>
      </w:r>
      <w:r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st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3032FCED" w14:textId="77777777" w:rsidR="00CA0100" w:rsidRPr="00ED55E7" w:rsidRDefault="00CA0100" w:rsidP="00883B5C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December 7, 2007—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  <w:t>(A</w:t>
      </w:r>
      <w:r w:rsidR="005D3D2F">
        <w:rPr>
          <w:rFonts w:ascii="Times New Roman" w:hAnsi="Times New Roman" w:cs="Times New Roman"/>
          <w:snapToGrid w:val="0"/>
          <w:kern w:val="2"/>
          <w:sz w:val="20"/>
        </w:rPr>
        <w:t>ll a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rticles) amended </w:t>
      </w:r>
      <w:r w:rsidR="006715A0">
        <w:rPr>
          <w:rFonts w:ascii="Times New Roman" w:hAnsi="Times New Roman" w:cs="Times New Roman"/>
          <w:snapToGrid w:val="0"/>
          <w:kern w:val="2"/>
          <w:sz w:val="20"/>
        </w:rPr>
        <w:t xml:space="preserve">and passed </w:t>
      </w:r>
      <w:r>
        <w:rPr>
          <w:rFonts w:ascii="Times New Roman" w:hAnsi="Times New Roman" w:cs="Times New Roman"/>
          <w:snapToGrid w:val="0"/>
          <w:kern w:val="2"/>
          <w:sz w:val="20"/>
        </w:rPr>
        <w:t>by the 53</w:t>
      </w:r>
      <w:r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rd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2F1DEA3D" w14:textId="77777777" w:rsidR="00CA0100" w:rsidRPr="00ED55E7" w:rsidRDefault="00CA0100" w:rsidP="00883B5C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F54D5A">
        <w:rPr>
          <w:rFonts w:ascii="Times New Roman" w:hAnsi="Times New Roman" w:cs="Times New Roman"/>
          <w:snapToGrid w:val="0"/>
          <w:kern w:val="2"/>
          <w:sz w:val="20"/>
        </w:rPr>
        <w:t>September 12, 2012</w:t>
      </w:r>
      <w:r>
        <w:rPr>
          <w:rFonts w:ascii="Times New Roman" w:hAnsi="Times New Roman" w:cs="Times New Roman"/>
          <w:snapToGrid w:val="0"/>
          <w:kern w:val="2"/>
          <w:sz w:val="20"/>
        </w:rPr>
        <w:t>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F54D5A">
        <w:rPr>
          <w:rFonts w:ascii="Times New Roman" w:hAnsi="Times New Roman" w:cs="Times New Roman"/>
          <w:snapToGrid w:val="0"/>
          <w:kern w:val="2"/>
          <w:sz w:val="20"/>
        </w:rPr>
        <w:t>A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mended </w:t>
      </w:r>
      <w:r w:rsidR="00F54D5A">
        <w:rPr>
          <w:rFonts w:ascii="Times New Roman" w:hAnsi="Times New Roman" w:cs="Times New Roman"/>
          <w:snapToGrid w:val="0"/>
          <w:kern w:val="2"/>
          <w:sz w:val="20"/>
        </w:rPr>
        <w:t xml:space="preserve">and passed 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by the </w:t>
      </w:r>
      <w:r w:rsidR="00F54D5A">
        <w:rPr>
          <w:rFonts w:ascii="Times New Roman" w:hAnsi="Times New Roman" w:cs="Times New Roman"/>
          <w:snapToGrid w:val="0"/>
          <w:kern w:val="2"/>
          <w:sz w:val="20"/>
        </w:rPr>
        <w:t>372</w:t>
      </w:r>
      <w:r w:rsidR="00F54D5A" w:rsidRPr="00F54D5A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nd</w:t>
      </w:r>
      <w:r w:rsidR="00F54D5A">
        <w:rPr>
          <w:rFonts w:ascii="Times New Roman" w:hAnsi="Times New Roman" w:cs="Times New Roman"/>
          <w:snapToGrid w:val="0"/>
          <w:kern w:val="2"/>
          <w:sz w:val="20"/>
        </w:rPr>
        <w:t xml:space="preserve"> Administrative M</w:t>
      </w:r>
      <w:r>
        <w:rPr>
          <w:rFonts w:ascii="Times New Roman" w:hAnsi="Times New Roman" w:cs="Times New Roman"/>
          <w:snapToGrid w:val="0"/>
          <w:kern w:val="2"/>
          <w:sz w:val="20"/>
        </w:rPr>
        <w:t>eeting</w:t>
      </w:r>
    </w:p>
    <w:p w14:paraId="29AFED58" w14:textId="77777777" w:rsidR="00CA0100" w:rsidRDefault="00CA0100" w:rsidP="00883B5C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2C08A0">
        <w:rPr>
          <w:rFonts w:ascii="Times New Roman" w:hAnsi="Times New Roman" w:cs="Times New Roman"/>
          <w:snapToGrid w:val="0"/>
          <w:kern w:val="2"/>
          <w:sz w:val="20"/>
        </w:rPr>
        <w:t>September 4, 2013</w:t>
      </w:r>
      <w:r>
        <w:rPr>
          <w:rFonts w:ascii="Times New Roman" w:hAnsi="Times New Roman" w:cs="Times New Roman"/>
          <w:snapToGrid w:val="0"/>
          <w:kern w:val="2"/>
          <w:sz w:val="20"/>
        </w:rPr>
        <w:t>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  <w:t>(Article</w:t>
      </w:r>
      <w:r w:rsidR="002C08A0">
        <w:rPr>
          <w:rFonts w:ascii="Times New Roman" w:hAnsi="Times New Roman" w:cs="Times New Roman"/>
          <w:snapToGrid w:val="0"/>
          <w:kern w:val="2"/>
          <w:sz w:val="20"/>
        </w:rPr>
        <w:t>s 6 and 9 through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 11) amended </w:t>
      </w:r>
      <w:r w:rsidR="005C228C">
        <w:rPr>
          <w:rFonts w:ascii="Times New Roman" w:hAnsi="Times New Roman" w:cs="Times New Roman"/>
          <w:snapToGrid w:val="0"/>
          <w:kern w:val="2"/>
          <w:sz w:val="20"/>
        </w:rPr>
        <w:t xml:space="preserve">and passed 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by the </w:t>
      </w:r>
      <w:r w:rsidR="00CF55B7">
        <w:rPr>
          <w:rFonts w:ascii="Times New Roman" w:hAnsi="Times New Roman" w:cs="Times New Roman"/>
          <w:snapToGrid w:val="0"/>
          <w:kern w:val="2"/>
          <w:sz w:val="20"/>
        </w:rPr>
        <w:t>380</w:t>
      </w:r>
      <w:r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 </w:t>
      </w:r>
      <w:r w:rsidR="00CF55B7">
        <w:rPr>
          <w:rFonts w:ascii="Times New Roman" w:hAnsi="Times New Roman" w:cs="Times New Roman"/>
          <w:snapToGrid w:val="0"/>
          <w:kern w:val="2"/>
          <w:sz w:val="20"/>
        </w:rPr>
        <w:t>Administrative Meeting</w:t>
      </w:r>
    </w:p>
    <w:p w14:paraId="5D3111DF" w14:textId="77777777" w:rsidR="00CF55B7" w:rsidRDefault="00CF55B7" w:rsidP="00883B5C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November 18, 2015—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  <w:t xml:space="preserve">(All articles) amended </w:t>
      </w:r>
      <w:r w:rsidR="005C228C">
        <w:rPr>
          <w:rFonts w:ascii="Times New Roman" w:hAnsi="Times New Roman" w:cs="Times New Roman"/>
          <w:snapToGrid w:val="0"/>
          <w:kern w:val="2"/>
          <w:sz w:val="20"/>
        </w:rPr>
        <w:t xml:space="preserve">and passed </w:t>
      </w:r>
      <w:r>
        <w:rPr>
          <w:rFonts w:ascii="Times New Roman" w:hAnsi="Times New Roman" w:cs="Times New Roman"/>
          <w:snapToGrid w:val="0"/>
          <w:kern w:val="2"/>
          <w:sz w:val="20"/>
        </w:rPr>
        <w:t>by the 396</w:t>
      </w:r>
      <w:r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 Administrative Meeting</w:t>
      </w:r>
    </w:p>
    <w:p w14:paraId="3E878E19" w14:textId="77777777" w:rsidR="00CF55B7" w:rsidRPr="00ED55E7" w:rsidRDefault="00CF55B7" w:rsidP="00883B5C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January 12, 2022—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  <w:t xml:space="preserve">(Articles 3 and 10) amended </w:t>
      </w:r>
      <w:r w:rsidR="005C228C">
        <w:rPr>
          <w:rFonts w:ascii="Times New Roman" w:hAnsi="Times New Roman" w:cs="Times New Roman"/>
          <w:snapToGrid w:val="0"/>
          <w:kern w:val="2"/>
          <w:sz w:val="20"/>
        </w:rPr>
        <w:t xml:space="preserve">and passed 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by the </w:t>
      </w:r>
      <w:r w:rsidR="005C228C">
        <w:rPr>
          <w:rFonts w:ascii="Times New Roman" w:hAnsi="Times New Roman" w:cs="Times New Roman"/>
          <w:snapToGrid w:val="0"/>
          <w:kern w:val="2"/>
          <w:sz w:val="20"/>
        </w:rPr>
        <w:t>445</w:t>
      </w:r>
      <w:r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>
        <w:rPr>
          <w:rFonts w:ascii="Times New Roman" w:hAnsi="Times New Roman" w:cs="Times New Roman"/>
          <w:snapToGrid w:val="0"/>
          <w:kern w:val="2"/>
          <w:sz w:val="20"/>
        </w:rPr>
        <w:t xml:space="preserve"> Administrative Meeting</w:t>
      </w:r>
    </w:p>
    <w:p w14:paraId="7163391C" w14:textId="77777777" w:rsidR="00CA0100" w:rsidRDefault="00CA0100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</w:p>
    <w:p w14:paraId="0692D3D2" w14:textId="77777777" w:rsidR="00E44AF4" w:rsidRPr="00085BC4" w:rsidRDefault="00085BC4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443E6D">
        <w:rPr>
          <w:rFonts w:ascii="Times New Roman" w:hAnsi="Times New Roman" w:cs="Times New Roman"/>
          <w:snapToGrid w:val="0"/>
          <w:kern w:val="2"/>
        </w:rPr>
        <w:t xml:space="preserve">National Chung Hsing University (hereinafter, NCHU or “the University”) </w:t>
      </w:r>
      <w:r w:rsidR="00333EBF">
        <w:rPr>
          <w:rFonts w:ascii="Times New Roman" w:hAnsi="Times New Roman" w:cs="Times New Roman"/>
          <w:snapToGrid w:val="0"/>
          <w:kern w:val="2"/>
        </w:rPr>
        <w:t xml:space="preserve">has formulated the following </w:t>
      </w:r>
      <w:r w:rsidR="00146C90" w:rsidRPr="00146C90">
        <w:rPr>
          <w:rFonts w:ascii="Times New Roman" w:hAnsi="Times New Roman" w:cs="Times New Roman"/>
          <w:i/>
          <w:iCs/>
          <w:snapToGrid w:val="0"/>
          <w:kern w:val="2"/>
        </w:rPr>
        <w:t>Faculty Secondment Guidelines</w:t>
      </w:r>
      <w:r w:rsidR="00146C90">
        <w:rPr>
          <w:rFonts w:ascii="Times New Roman" w:hAnsi="Times New Roman" w:cs="Times New Roman"/>
          <w:snapToGrid w:val="0"/>
          <w:kern w:val="2"/>
        </w:rPr>
        <w:t xml:space="preserve"> (“the Guidelines”) to handle matters related to the secondment of its faculty members.</w:t>
      </w:r>
    </w:p>
    <w:p w14:paraId="49D4E173" w14:textId="77777777" w:rsidR="00946DB7" w:rsidRPr="00085BC4" w:rsidRDefault="00085BC4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2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6851B2">
        <w:rPr>
          <w:rFonts w:ascii="Times New Roman" w:hAnsi="Times New Roman" w:cs="Times New Roman"/>
          <w:snapToGrid w:val="0"/>
          <w:kern w:val="2"/>
        </w:rPr>
        <w:t xml:space="preserve">The term “secondment” herein shall refer to the temporary transfer of faculty members between the University and a government agency, public/private educational institution, </w:t>
      </w:r>
      <w:r w:rsidR="00D3123C">
        <w:rPr>
          <w:rFonts w:ascii="Times New Roman" w:hAnsi="Times New Roman" w:cs="Times New Roman"/>
          <w:snapToGrid w:val="0"/>
          <w:kern w:val="2"/>
        </w:rPr>
        <w:t xml:space="preserve">public research institute, </w:t>
      </w:r>
      <w:r w:rsidR="006851B2">
        <w:rPr>
          <w:rFonts w:ascii="Times New Roman" w:hAnsi="Times New Roman" w:cs="Times New Roman"/>
          <w:snapToGrid w:val="0"/>
          <w:kern w:val="2"/>
        </w:rPr>
        <w:t xml:space="preserve">public/private for-profit organization, foundation, </w:t>
      </w:r>
      <w:r w:rsidR="00B7586B">
        <w:rPr>
          <w:rFonts w:ascii="Times New Roman" w:hAnsi="Times New Roman" w:cs="Times New Roman"/>
          <w:snapToGrid w:val="0"/>
          <w:kern w:val="2"/>
        </w:rPr>
        <w:t xml:space="preserve">legal person, </w:t>
      </w:r>
      <w:r w:rsidR="00A63B6B">
        <w:rPr>
          <w:rFonts w:ascii="Times New Roman" w:hAnsi="Times New Roman" w:cs="Times New Roman"/>
          <w:snapToGrid w:val="0"/>
          <w:kern w:val="2"/>
        </w:rPr>
        <w:t xml:space="preserve">or civic association due to special </w:t>
      </w:r>
      <w:r w:rsidR="00CE068E">
        <w:rPr>
          <w:rFonts w:ascii="Times New Roman" w:hAnsi="Times New Roman" w:cs="Times New Roman"/>
          <w:snapToGrid w:val="0"/>
          <w:kern w:val="2"/>
        </w:rPr>
        <w:t xml:space="preserve">needs. </w:t>
      </w:r>
      <w:r w:rsidR="00D8339A">
        <w:rPr>
          <w:rFonts w:ascii="Times New Roman" w:hAnsi="Times New Roman" w:cs="Times New Roman"/>
          <w:snapToGrid w:val="0"/>
          <w:kern w:val="2"/>
        </w:rPr>
        <w:t>Faculty members on secondment shall serve in a full-time capacity at the target agency</w:t>
      </w:r>
      <w:r w:rsidR="00DC1DB6">
        <w:rPr>
          <w:rFonts w:ascii="Times New Roman" w:hAnsi="Times New Roman" w:cs="Times New Roman"/>
          <w:snapToGrid w:val="0"/>
          <w:kern w:val="2"/>
        </w:rPr>
        <w:t>/organization</w:t>
      </w:r>
      <w:r w:rsidR="00D8339A">
        <w:rPr>
          <w:rFonts w:ascii="Times New Roman" w:hAnsi="Times New Roman" w:cs="Times New Roman"/>
          <w:snapToGrid w:val="0"/>
          <w:kern w:val="2"/>
        </w:rPr>
        <w:t>.</w:t>
      </w:r>
    </w:p>
    <w:p w14:paraId="06D9E188" w14:textId="2EFC9362" w:rsidR="00E44AF4" w:rsidRPr="00085BC4" w:rsidRDefault="00946DB7" w:rsidP="00883B5C">
      <w:pPr>
        <w:pStyle w:val="a3"/>
        <w:snapToGrid w:val="0"/>
        <w:ind w:left="1134" w:right="11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S</w:t>
      </w:r>
      <w:r>
        <w:rPr>
          <w:rFonts w:ascii="Times New Roman" w:hAnsi="Times New Roman" w:cs="Times New Roman"/>
          <w:snapToGrid w:val="0"/>
          <w:kern w:val="2"/>
        </w:rPr>
        <w:t xml:space="preserve">econdment to </w:t>
      </w:r>
      <w:r w:rsidR="00DC7368">
        <w:rPr>
          <w:rFonts w:ascii="Times New Roman" w:hAnsi="Times New Roman" w:cs="Times New Roman"/>
          <w:snapToGrid w:val="0"/>
          <w:kern w:val="2"/>
        </w:rPr>
        <w:t xml:space="preserve">a </w:t>
      </w:r>
      <w:r>
        <w:rPr>
          <w:rFonts w:ascii="Times New Roman" w:hAnsi="Times New Roman" w:cs="Times New Roman"/>
          <w:snapToGrid w:val="0"/>
          <w:kern w:val="2"/>
        </w:rPr>
        <w:t xml:space="preserve">foundation, legal person, </w:t>
      </w:r>
      <w:r w:rsidR="00DC7368">
        <w:rPr>
          <w:rFonts w:ascii="Times New Roman" w:hAnsi="Times New Roman" w:cs="Times New Roman"/>
          <w:snapToGrid w:val="0"/>
          <w:kern w:val="2"/>
        </w:rPr>
        <w:t xml:space="preserve">or </w:t>
      </w:r>
      <w:r>
        <w:rPr>
          <w:rFonts w:ascii="Times New Roman" w:hAnsi="Times New Roman" w:cs="Times New Roman"/>
          <w:snapToGrid w:val="0"/>
          <w:kern w:val="2"/>
        </w:rPr>
        <w:t>civic association</w:t>
      </w:r>
      <w:r w:rsidR="00DC7368">
        <w:rPr>
          <w:rFonts w:ascii="Times New Roman" w:hAnsi="Times New Roman" w:cs="Times New Roman"/>
          <w:snapToGrid w:val="0"/>
          <w:kern w:val="2"/>
        </w:rPr>
        <w:t xml:space="preserve"> </w:t>
      </w:r>
      <w:r w:rsidR="002A412A">
        <w:rPr>
          <w:rFonts w:ascii="Times New Roman" w:hAnsi="Times New Roman" w:cs="Times New Roman"/>
          <w:snapToGrid w:val="0"/>
          <w:kern w:val="2"/>
        </w:rPr>
        <w:t xml:space="preserve">is only permitted </w:t>
      </w:r>
      <w:r w:rsidR="002304C5">
        <w:rPr>
          <w:rFonts w:ascii="Times New Roman" w:hAnsi="Times New Roman" w:cs="Times New Roman"/>
          <w:snapToGrid w:val="0"/>
          <w:kern w:val="2"/>
        </w:rPr>
        <w:t>on the premise that such secondment</w:t>
      </w:r>
      <w:r w:rsidR="002C29B1">
        <w:rPr>
          <w:rFonts w:ascii="Times New Roman" w:hAnsi="Times New Roman" w:cs="Times New Roman"/>
          <w:snapToGrid w:val="0"/>
          <w:kern w:val="2"/>
        </w:rPr>
        <w:t xml:space="preserve"> is conducive to the development of the University, </w:t>
      </w:r>
      <w:r w:rsidR="003B4EDA">
        <w:rPr>
          <w:rFonts w:ascii="Times New Roman" w:hAnsi="Times New Roman" w:cs="Times New Roman"/>
          <w:snapToGrid w:val="0"/>
          <w:kern w:val="2"/>
        </w:rPr>
        <w:t xml:space="preserve">that the </w:t>
      </w:r>
      <w:r w:rsidR="0022773F">
        <w:rPr>
          <w:rFonts w:ascii="Times New Roman" w:hAnsi="Times New Roman" w:cs="Times New Roman"/>
          <w:snapToGrid w:val="0"/>
          <w:kern w:val="2"/>
        </w:rPr>
        <w:t xml:space="preserve">target </w:t>
      </w:r>
      <w:r w:rsidR="002A412A">
        <w:rPr>
          <w:rFonts w:ascii="Times New Roman" w:hAnsi="Times New Roman" w:cs="Times New Roman"/>
          <w:snapToGrid w:val="0"/>
          <w:kern w:val="2"/>
        </w:rPr>
        <w:t xml:space="preserve">foundation, legal person, </w:t>
      </w:r>
      <w:r w:rsidR="000D5D78">
        <w:rPr>
          <w:rFonts w:ascii="Times New Roman" w:hAnsi="Times New Roman" w:cs="Times New Roman"/>
          <w:snapToGrid w:val="0"/>
          <w:kern w:val="2"/>
        </w:rPr>
        <w:t>or</w:t>
      </w:r>
      <w:r w:rsidR="002A412A">
        <w:rPr>
          <w:rFonts w:ascii="Times New Roman" w:hAnsi="Times New Roman" w:cs="Times New Roman"/>
          <w:snapToGrid w:val="0"/>
          <w:kern w:val="2"/>
        </w:rPr>
        <w:t xml:space="preserve"> civic association </w:t>
      </w:r>
      <w:r w:rsidR="0022773F">
        <w:rPr>
          <w:rFonts w:ascii="Times New Roman" w:hAnsi="Times New Roman" w:cs="Times New Roman"/>
          <w:snapToGrid w:val="0"/>
          <w:kern w:val="2"/>
        </w:rPr>
        <w:t xml:space="preserve">is </w:t>
      </w:r>
      <w:r w:rsidR="00A93915">
        <w:rPr>
          <w:rFonts w:ascii="Times New Roman" w:hAnsi="Times New Roman" w:cs="Times New Roman"/>
          <w:snapToGrid w:val="0"/>
          <w:kern w:val="2"/>
        </w:rPr>
        <w:t xml:space="preserve">in close collaboration with the university, </w:t>
      </w:r>
      <w:r w:rsidR="006B2EB4">
        <w:rPr>
          <w:rFonts w:ascii="Times New Roman" w:hAnsi="Times New Roman" w:cs="Times New Roman"/>
          <w:snapToGrid w:val="0"/>
          <w:kern w:val="2"/>
        </w:rPr>
        <w:t xml:space="preserve">AND </w:t>
      </w:r>
      <w:r w:rsidR="0022773F">
        <w:rPr>
          <w:rFonts w:ascii="Times New Roman" w:hAnsi="Times New Roman" w:cs="Times New Roman"/>
          <w:snapToGrid w:val="0"/>
          <w:kern w:val="2"/>
        </w:rPr>
        <w:t>that</w:t>
      </w:r>
      <w:r w:rsidR="00A93915">
        <w:rPr>
          <w:rFonts w:ascii="Times New Roman" w:hAnsi="Times New Roman" w:cs="Times New Roman"/>
          <w:snapToGrid w:val="0"/>
          <w:kern w:val="2"/>
        </w:rPr>
        <w:t xml:space="preserve"> </w:t>
      </w:r>
      <w:r w:rsidR="00517E8E">
        <w:rPr>
          <w:rFonts w:ascii="Times New Roman" w:hAnsi="Times New Roman" w:cs="Times New Roman"/>
          <w:snapToGrid w:val="0"/>
          <w:kern w:val="2"/>
        </w:rPr>
        <w:t>its</w:t>
      </w:r>
      <w:r w:rsidR="00A93915">
        <w:rPr>
          <w:rFonts w:ascii="Times New Roman" w:hAnsi="Times New Roman" w:cs="Times New Roman"/>
          <w:snapToGrid w:val="0"/>
          <w:kern w:val="2"/>
        </w:rPr>
        <w:t xml:space="preserve"> organizational charter </w:t>
      </w:r>
      <w:r w:rsidR="006A2535">
        <w:rPr>
          <w:rFonts w:ascii="Times New Roman" w:hAnsi="Times New Roman" w:cs="Times New Roman"/>
          <w:snapToGrid w:val="0"/>
          <w:kern w:val="2"/>
        </w:rPr>
        <w:t xml:space="preserve">has </w:t>
      </w:r>
      <w:r w:rsidR="00A93915">
        <w:rPr>
          <w:rFonts w:ascii="Times New Roman" w:hAnsi="Times New Roman" w:cs="Times New Roman"/>
          <w:snapToGrid w:val="0"/>
          <w:kern w:val="2"/>
        </w:rPr>
        <w:t>been approved by the government.</w:t>
      </w:r>
    </w:p>
    <w:p w14:paraId="6FADCF55" w14:textId="77777777" w:rsidR="006851B2" w:rsidRDefault="00085BC4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4B7008">
        <w:rPr>
          <w:rFonts w:ascii="Times New Roman" w:hAnsi="Times New Roman" w:cs="Times New Roman"/>
          <w:snapToGrid w:val="0"/>
          <w:kern w:val="2"/>
        </w:rPr>
        <w:t xml:space="preserve">Each period of secondment may last up to four years. However, </w:t>
      </w:r>
      <w:r w:rsidR="009F3AB4">
        <w:rPr>
          <w:rFonts w:ascii="Times New Roman" w:hAnsi="Times New Roman" w:cs="Times New Roman"/>
          <w:snapToGrid w:val="0"/>
          <w:kern w:val="2"/>
        </w:rPr>
        <w:t xml:space="preserve">if a faculty member is to assume a position with a predetermined term of office that is longer than four years, </w:t>
      </w:r>
      <w:r w:rsidR="009F3AB4" w:rsidRPr="00721400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said term of office shall prevail</w:t>
      </w:r>
      <w:r w:rsidR="009F3AB4">
        <w:rPr>
          <w:rFonts w:ascii="Times New Roman" w:hAnsi="Times New Roman" w:cs="Times New Roman"/>
          <w:snapToGrid w:val="0"/>
          <w:kern w:val="2"/>
        </w:rPr>
        <w:t xml:space="preserve">. </w:t>
      </w:r>
      <w:r w:rsidR="00311ED3">
        <w:rPr>
          <w:rFonts w:ascii="Times New Roman" w:hAnsi="Times New Roman" w:cs="Times New Roman"/>
          <w:snapToGrid w:val="0"/>
          <w:kern w:val="2"/>
        </w:rPr>
        <w:t>Faculty members may submit another secondment request following the conclusion of their current period of secondment.</w:t>
      </w:r>
    </w:p>
    <w:p w14:paraId="79F7E12B" w14:textId="77777777" w:rsidR="00E44AF4" w:rsidRPr="00085BC4" w:rsidRDefault="00B3511E" w:rsidP="00883B5C">
      <w:pPr>
        <w:pStyle w:val="a3"/>
        <w:snapToGrid w:val="0"/>
        <w:ind w:left="1134" w:right="0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Each faculty member may be on secondment for a total of eight years throughout their term of appointment at the University. </w:t>
      </w:r>
      <w:r w:rsidR="001A7EA7">
        <w:rPr>
          <w:rFonts w:ascii="Times New Roman" w:hAnsi="Times New Roman" w:cs="Times New Roman"/>
          <w:snapToGrid w:val="0"/>
          <w:kern w:val="2"/>
        </w:rPr>
        <w:t>Faculty members shall apply for unpaid leave while on secondment.</w:t>
      </w:r>
    </w:p>
    <w:p w14:paraId="3586210A" w14:textId="787283FC" w:rsidR="006851B2" w:rsidRDefault="00085BC4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4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5461B0">
        <w:rPr>
          <w:rFonts w:ascii="Times New Roman" w:hAnsi="Times New Roman" w:cs="Times New Roman"/>
          <w:snapToGrid w:val="0"/>
          <w:kern w:val="2"/>
        </w:rPr>
        <w:t>To submit a secondment request, f</w:t>
      </w:r>
      <w:r w:rsidR="00DC1DB6">
        <w:rPr>
          <w:rFonts w:ascii="Times New Roman" w:hAnsi="Times New Roman" w:cs="Times New Roman"/>
          <w:snapToGrid w:val="0"/>
          <w:kern w:val="2"/>
        </w:rPr>
        <w:t xml:space="preserve">aculty members must possess the necessary skills or have taught courses in </w:t>
      </w:r>
      <w:r w:rsidR="006A2535">
        <w:rPr>
          <w:rFonts w:ascii="Times New Roman" w:hAnsi="Times New Roman" w:cs="Times New Roman"/>
          <w:snapToGrid w:val="0"/>
          <w:kern w:val="2"/>
        </w:rPr>
        <w:t xml:space="preserve">a </w:t>
      </w:r>
      <w:r w:rsidR="00DC1DB6">
        <w:rPr>
          <w:rFonts w:ascii="Times New Roman" w:hAnsi="Times New Roman" w:cs="Times New Roman"/>
          <w:snapToGrid w:val="0"/>
          <w:kern w:val="2"/>
        </w:rPr>
        <w:t>field related to the target agency/organization</w:t>
      </w:r>
      <w:r w:rsidR="00EF45FD">
        <w:rPr>
          <w:rFonts w:ascii="Times New Roman" w:hAnsi="Times New Roman" w:cs="Times New Roman"/>
          <w:snapToGrid w:val="0"/>
          <w:kern w:val="2"/>
        </w:rPr>
        <w:t>’s special official needs</w:t>
      </w:r>
      <w:r w:rsidR="006C310C">
        <w:rPr>
          <w:rFonts w:ascii="Times New Roman" w:hAnsi="Times New Roman" w:cs="Times New Roman"/>
          <w:snapToGrid w:val="0"/>
          <w:kern w:val="2"/>
        </w:rPr>
        <w:t>, and</w:t>
      </w:r>
      <w:r w:rsidR="006B2B1A">
        <w:rPr>
          <w:rFonts w:ascii="Times New Roman" w:hAnsi="Times New Roman" w:cs="Times New Roman"/>
          <w:snapToGrid w:val="0"/>
          <w:kern w:val="2"/>
        </w:rPr>
        <w:t xml:space="preserve"> </w:t>
      </w:r>
      <w:r w:rsidR="006C310C">
        <w:rPr>
          <w:rFonts w:ascii="Times New Roman" w:hAnsi="Times New Roman" w:cs="Times New Roman"/>
          <w:snapToGrid w:val="0"/>
          <w:kern w:val="2"/>
        </w:rPr>
        <w:t xml:space="preserve">they must have the qualifications for the position offered by the </w:t>
      </w:r>
      <w:r w:rsidR="00A43208">
        <w:rPr>
          <w:rFonts w:ascii="Times New Roman" w:hAnsi="Times New Roman" w:cs="Times New Roman"/>
          <w:snapToGrid w:val="0"/>
          <w:kern w:val="2"/>
        </w:rPr>
        <w:t>target agency/organization</w:t>
      </w:r>
      <w:r w:rsidR="006F0E6D">
        <w:rPr>
          <w:rFonts w:ascii="Times New Roman" w:hAnsi="Times New Roman" w:cs="Times New Roman"/>
          <w:snapToGrid w:val="0"/>
          <w:kern w:val="2"/>
        </w:rPr>
        <w:t xml:space="preserve">, pursuant to the </w:t>
      </w:r>
      <w:r w:rsidR="006F0E6D" w:rsidRPr="006B2B1A">
        <w:rPr>
          <w:rFonts w:ascii="Times New Roman" w:hAnsi="Times New Roman" w:cs="Times New Roman"/>
          <w:i/>
          <w:iCs/>
          <w:snapToGrid w:val="0"/>
          <w:kern w:val="2"/>
        </w:rPr>
        <w:t>Basic Code Governing Central Administrative Agencies Organizations</w:t>
      </w:r>
      <w:r w:rsidR="00A43208">
        <w:rPr>
          <w:rFonts w:ascii="Times New Roman" w:hAnsi="Times New Roman" w:cs="Times New Roman"/>
          <w:snapToGrid w:val="0"/>
          <w:kern w:val="2"/>
        </w:rPr>
        <w:t>.</w:t>
      </w:r>
    </w:p>
    <w:p w14:paraId="75AE3E31" w14:textId="77777777" w:rsidR="006851B2" w:rsidRDefault="00085BC4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5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42674A">
        <w:rPr>
          <w:rFonts w:ascii="Times New Roman" w:hAnsi="Times New Roman" w:cs="Times New Roman"/>
          <w:snapToGrid w:val="0"/>
          <w:kern w:val="2"/>
        </w:rPr>
        <w:t xml:space="preserve">Faculty members’ </w:t>
      </w:r>
      <w:r w:rsidR="004A2874">
        <w:rPr>
          <w:rFonts w:ascii="Times New Roman" w:hAnsi="Times New Roman" w:cs="Times New Roman"/>
          <w:snapToGrid w:val="0"/>
          <w:kern w:val="2"/>
        </w:rPr>
        <w:t xml:space="preserve">requests for secondment </w:t>
      </w:r>
      <w:r w:rsidR="004A2874" w:rsidRPr="00883B5C">
        <w:rPr>
          <w:rFonts w:ascii="Times New Roman" w:hAnsi="Times New Roman" w:cs="Times New Roman"/>
          <w:snapToGrid w:val="0"/>
          <w:kern w:val="2"/>
        </w:rPr>
        <w:t>to and from</w:t>
      </w:r>
      <w:r w:rsidR="004A2874">
        <w:rPr>
          <w:rFonts w:ascii="Times New Roman" w:hAnsi="Times New Roman" w:cs="Times New Roman"/>
          <w:snapToGrid w:val="0"/>
          <w:kern w:val="2"/>
        </w:rPr>
        <w:t xml:space="preserve"> the University </w:t>
      </w:r>
      <w:r w:rsidR="0042674A">
        <w:rPr>
          <w:rFonts w:ascii="Times New Roman" w:hAnsi="Times New Roman" w:cs="Times New Roman"/>
          <w:snapToGrid w:val="0"/>
          <w:kern w:val="2"/>
        </w:rPr>
        <w:t xml:space="preserve">shall be reviewed by the competent department-level faculty evaluation committee and presented to the NCHU President for approval in accordance with internal administrative procedures. </w:t>
      </w:r>
    </w:p>
    <w:p w14:paraId="3894DB88" w14:textId="575DDAA0" w:rsidR="00E44AF4" w:rsidRPr="00085BC4" w:rsidRDefault="00AD4A91" w:rsidP="00883B5C">
      <w:pPr>
        <w:pStyle w:val="a3"/>
        <w:snapToGrid w:val="0"/>
        <w:ind w:left="1134" w:right="11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 xml:space="preserve">he competent department-level faculty evaluation committee, as described in the preceding paragraph, shall consider the workload of </w:t>
      </w:r>
      <w:r w:rsidR="00A54CEB">
        <w:rPr>
          <w:rFonts w:ascii="Times New Roman" w:hAnsi="Times New Roman" w:cs="Times New Roman"/>
          <w:snapToGrid w:val="0"/>
          <w:kern w:val="2"/>
        </w:rPr>
        <w:t xml:space="preserve">other </w:t>
      </w:r>
      <w:r>
        <w:rPr>
          <w:rFonts w:ascii="Times New Roman" w:hAnsi="Times New Roman" w:cs="Times New Roman"/>
          <w:snapToGrid w:val="0"/>
          <w:kern w:val="2"/>
        </w:rPr>
        <w:t xml:space="preserve">faculty members, the teacher-to-student ratio, </w:t>
      </w:r>
      <w:r w:rsidR="00A54CEB">
        <w:rPr>
          <w:rFonts w:ascii="Times New Roman" w:hAnsi="Times New Roman" w:cs="Times New Roman"/>
          <w:snapToGrid w:val="0"/>
          <w:kern w:val="2"/>
        </w:rPr>
        <w:t xml:space="preserve">and the current faculty quota when </w:t>
      </w:r>
      <w:r>
        <w:rPr>
          <w:rFonts w:ascii="Times New Roman" w:hAnsi="Times New Roman" w:cs="Times New Roman"/>
          <w:snapToGrid w:val="0"/>
          <w:kern w:val="2"/>
        </w:rPr>
        <w:t>review</w:t>
      </w:r>
      <w:r w:rsidR="00A54CEB">
        <w:rPr>
          <w:rFonts w:ascii="Times New Roman" w:hAnsi="Times New Roman" w:cs="Times New Roman"/>
          <w:snapToGrid w:val="0"/>
          <w:kern w:val="2"/>
        </w:rPr>
        <w:t xml:space="preserve">ing </w:t>
      </w:r>
      <w:r>
        <w:rPr>
          <w:rFonts w:ascii="Times New Roman" w:hAnsi="Times New Roman" w:cs="Times New Roman"/>
          <w:snapToGrid w:val="0"/>
          <w:kern w:val="2"/>
        </w:rPr>
        <w:t>secondment requests</w:t>
      </w:r>
      <w:r w:rsidR="00A54CEB">
        <w:rPr>
          <w:rFonts w:ascii="Times New Roman" w:hAnsi="Times New Roman" w:cs="Times New Roman"/>
          <w:snapToGrid w:val="0"/>
          <w:kern w:val="2"/>
        </w:rPr>
        <w:t>.</w:t>
      </w:r>
    </w:p>
    <w:p w14:paraId="41B6C274" w14:textId="77777777" w:rsidR="00E44AF4" w:rsidRPr="00085BC4" w:rsidRDefault="00085BC4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6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F905BC">
        <w:rPr>
          <w:rFonts w:ascii="Times New Roman" w:hAnsi="Times New Roman" w:cs="Times New Roman"/>
          <w:snapToGrid w:val="0"/>
          <w:kern w:val="2"/>
        </w:rPr>
        <w:t xml:space="preserve">Faculty members on secondment to another agency/organization may </w:t>
      </w:r>
      <w:r w:rsidR="002A17C0">
        <w:rPr>
          <w:rFonts w:ascii="Times New Roman" w:hAnsi="Times New Roman" w:cs="Times New Roman"/>
          <w:snapToGrid w:val="0"/>
          <w:kern w:val="2"/>
        </w:rPr>
        <w:t xml:space="preserve">be </w:t>
      </w:r>
      <w:r w:rsidR="000F4EB1">
        <w:rPr>
          <w:rFonts w:ascii="Times New Roman" w:hAnsi="Times New Roman" w:cs="Times New Roman"/>
          <w:snapToGrid w:val="0"/>
          <w:kern w:val="2"/>
        </w:rPr>
        <w:t>required</w:t>
      </w:r>
      <w:r w:rsidR="002A17C0">
        <w:rPr>
          <w:rFonts w:ascii="Times New Roman" w:hAnsi="Times New Roman" w:cs="Times New Roman"/>
          <w:snapToGrid w:val="0"/>
          <w:kern w:val="2"/>
        </w:rPr>
        <w:t xml:space="preserve"> to </w:t>
      </w:r>
      <w:r w:rsidR="00F905BC">
        <w:rPr>
          <w:rFonts w:ascii="Times New Roman" w:hAnsi="Times New Roman" w:cs="Times New Roman"/>
          <w:snapToGrid w:val="0"/>
          <w:kern w:val="2"/>
        </w:rPr>
        <w:t xml:space="preserve">return to the </w:t>
      </w:r>
      <w:r w:rsidR="000746BB">
        <w:rPr>
          <w:rFonts w:ascii="Times New Roman" w:hAnsi="Times New Roman" w:cs="Times New Roman"/>
          <w:snapToGrid w:val="0"/>
          <w:kern w:val="2"/>
        </w:rPr>
        <w:t>University</w:t>
      </w:r>
      <w:r w:rsidR="00F905BC">
        <w:rPr>
          <w:rFonts w:ascii="Times New Roman" w:hAnsi="Times New Roman" w:cs="Times New Roman"/>
          <w:snapToGrid w:val="0"/>
          <w:kern w:val="2"/>
        </w:rPr>
        <w:t xml:space="preserve"> to advise students or offer courses without remuneration. </w:t>
      </w:r>
      <w:r w:rsidR="00A904B4">
        <w:rPr>
          <w:rFonts w:ascii="Times New Roman" w:hAnsi="Times New Roman" w:cs="Times New Roman"/>
          <w:snapToGrid w:val="0"/>
          <w:kern w:val="2"/>
        </w:rPr>
        <w:t xml:space="preserve">Matters related to their teaching hours shall be negotiated </w:t>
      </w:r>
      <w:r w:rsidR="00981FF9">
        <w:rPr>
          <w:rFonts w:ascii="Times New Roman" w:hAnsi="Times New Roman" w:cs="Times New Roman"/>
          <w:snapToGrid w:val="0"/>
          <w:kern w:val="2"/>
        </w:rPr>
        <w:t>between themselves and their affiliated department, graduate institute, office, or center.</w:t>
      </w:r>
    </w:p>
    <w:p w14:paraId="1B4EB203" w14:textId="2D7A478F" w:rsidR="00E44AF4" w:rsidRPr="00085BC4" w:rsidRDefault="00E675D6" w:rsidP="00883B5C">
      <w:pPr>
        <w:pStyle w:val="a3"/>
        <w:snapToGrid w:val="0"/>
        <w:ind w:left="1134" w:right="11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Faculty members on secondment to another agency/organization may be exempt from the teaching hour requirements described in the preceding paragraph if the target agency/organization offers the University a </w:t>
      </w:r>
      <w:r w:rsidR="009E652D">
        <w:rPr>
          <w:rFonts w:ascii="Times New Roman" w:hAnsi="Times New Roman" w:cs="Times New Roman"/>
          <w:snapToGrid w:val="0"/>
          <w:kern w:val="2"/>
        </w:rPr>
        <w:t xml:space="preserve">secondment fee </w:t>
      </w:r>
      <w:r w:rsidR="00EF70A4">
        <w:rPr>
          <w:rFonts w:ascii="Times New Roman" w:hAnsi="Times New Roman" w:cs="Times New Roman"/>
          <w:snapToGrid w:val="0"/>
          <w:kern w:val="2"/>
        </w:rPr>
        <w:t>of</w:t>
      </w:r>
      <w:r w:rsidR="009E652D">
        <w:rPr>
          <w:rFonts w:ascii="Times New Roman" w:hAnsi="Times New Roman" w:cs="Times New Roman"/>
          <w:snapToGrid w:val="0"/>
          <w:kern w:val="2"/>
        </w:rPr>
        <w:t xml:space="preserve"> greater than 1.5 times the amount of </w:t>
      </w:r>
      <w:r w:rsidR="00B248AE">
        <w:rPr>
          <w:rFonts w:ascii="Times New Roman" w:hAnsi="Times New Roman" w:cs="Times New Roman"/>
          <w:snapToGrid w:val="0"/>
          <w:kern w:val="2"/>
        </w:rPr>
        <w:t>the faculty member’s monthly remuneration at the University.</w:t>
      </w:r>
      <w:r w:rsidR="00905FA3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206924">
        <w:rPr>
          <w:rFonts w:ascii="Times New Roman" w:hAnsi="Times New Roman" w:cs="Times New Roman"/>
          <w:snapToGrid w:val="0"/>
          <w:kern w:val="2"/>
        </w:rPr>
        <w:t>Matters related to faculty members’ seniority and other rights and interests shall be subject to the applicable regulations.</w:t>
      </w:r>
    </w:p>
    <w:p w14:paraId="350FD6B6" w14:textId="77777777" w:rsidR="00085BC4" w:rsidRDefault="000F34B7" w:rsidP="00883B5C">
      <w:pPr>
        <w:pStyle w:val="a3"/>
        <w:snapToGrid w:val="0"/>
        <w:ind w:left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Once their secondment request is approved by the University, f</w:t>
      </w:r>
      <w:r w:rsidR="00857CFA">
        <w:rPr>
          <w:rFonts w:ascii="Times New Roman" w:hAnsi="Times New Roman" w:cs="Times New Roman"/>
          <w:snapToGrid w:val="0"/>
          <w:kern w:val="2"/>
        </w:rPr>
        <w:t>ull-time faculty members shall be relieved of any adjunct administrative duties</w:t>
      </w:r>
      <w:r>
        <w:rPr>
          <w:rFonts w:ascii="Times New Roman" w:hAnsi="Times New Roman" w:cs="Times New Roman"/>
          <w:snapToGrid w:val="0"/>
          <w:kern w:val="2"/>
        </w:rPr>
        <w:t xml:space="preserve"> upon the effective date of their secondment</w:t>
      </w:r>
      <w:r>
        <w:rPr>
          <w:rFonts w:ascii="Times New Roman" w:hAnsi="Times New Roman" w:cs="Times New Roman" w:hint="eastAsia"/>
          <w:snapToGrid w:val="0"/>
          <w:kern w:val="2"/>
        </w:rPr>
        <w:t>.</w:t>
      </w:r>
    </w:p>
    <w:p w14:paraId="3BACD1BE" w14:textId="364323D7" w:rsidR="00E44AF4" w:rsidRPr="00085BC4" w:rsidRDefault="00085BC4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7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093270">
        <w:rPr>
          <w:rFonts w:ascii="Times New Roman" w:hAnsi="Times New Roman" w:cs="Times New Roman"/>
          <w:snapToGrid w:val="0"/>
          <w:kern w:val="2"/>
        </w:rPr>
        <w:t xml:space="preserve">Full-time faculty members with no </w:t>
      </w:r>
      <w:r w:rsidR="00AF6D69">
        <w:rPr>
          <w:rFonts w:ascii="Times New Roman" w:hAnsi="Times New Roman" w:cs="Times New Roman"/>
          <w:snapToGrid w:val="0"/>
          <w:kern w:val="2"/>
        </w:rPr>
        <w:t xml:space="preserve">adjunct administrative duties may request secondment </w:t>
      </w:r>
      <w:r w:rsidR="00BA037E">
        <w:rPr>
          <w:rFonts w:ascii="Times New Roman" w:hAnsi="Times New Roman" w:cs="Times New Roman"/>
          <w:snapToGrid w:val="0"/>
          <w:kern w:val="2"/>
        </w:rPr>
        <w:t>to fill a full-time teaching or research position</w:t>
      </w:r>
      <w:r w:rsidR="00EB66F8" w:rsidRPr="00EB66F8">
        <w:rPr>
          <w:rFonts w:ascii="Times New Roman" w:hAnsi="Times New Roman" w:cs="Times New Roman"/>
          <w:snapToGrid w:val="0"/>
          <w:kern w:val="2"/>
        </w:rPr>
        <w:t xml:space="preserve"> </w:t>
      </w:r>
      <w:r w:rsidR="00EB66F8">
        <w:rPr>
          <w:rFonts w:ascii="Times New Roman" w:hAnsi="Times New Roman" w:cs="Times New Roman"/>
          <w:snapToGrid w:val="0"/>
          <w:kern w:val="2"/>
        </w:rPr>
        <w:t>in a for-profit organization</w:t>
      </w:r>
      <w:r w:rsidR="00BA037E">
        <w:rPr>
          <w:rFonts w:ascii="Times New Roman" w:hAnsi="Times New Roman" w:cs="Times New Roman"/>
          <w:snapToGrid w:val="0"/>
          <w:kern w:val="2"/>
        </w:rPr>
        <w:t xml:space="preserve"> as part of an academia-industry collaboration project.</w:t>
      </w:r>
    </w:p>
    <w:p w14:paraId="6FF746C1" w14:textId="6EB5DB62" w:rsidR="00E44AF4" w:rsidRPr="00085BC4" w:rsidRDefault="00CA3918" w:rsidP="00883B5C">
      <w:pPr>
        <w:pStyle w:val="a3"/>
        <w:snapToGrid w:val="0"/>
        <w:ind w:left="1134" w:right="11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lastRenderedPageBreak/>
        <w:t>The University shall sign a collaboration contract with for-profit organizations described in the preceding paragraph, and the Contract shall stipulate that the for-profit organization shall pay the University an appropriate amount of academic development fees</w:t>
      </w:r>
      <w:r w:rsidR="00EB66F8">
        <w:rPr>
          <w:rFonts w:ascii="Times New Roman" w:hAnsi="Times New Roman" w:cs="Times New Roman"/>
          <w:snapToGrid w:val="0"/>
          <w:kern w:val="2"/>
        </w:rPr>
        <w:t xml:space="preserve"> to</w:t>
      </w:r>
      <w:r>
        <w:rPr>
          <w:rFonts w:ascii="Times New Roman" w:hAnsi="Times New Roman" w:cs="Times New Roman"/>
          <w:snapToGrid w:val="0"/>
          <w:kern w:val="2"/>
        </w:rPr>
        <w:t xml:space="preserve"> be </w:t>
      </w:r>
      <w:r w:rsidR="00EB66F8">
        <w:rPr>
          <w:rFonts w:ascii="Times New Roman" w:hAnsi="Times New Roman" w:cs="Times New Roman"/>
          <w:snapToGrid w:val="0"/>
          <w:kern w:val="2"/>
        </w:rPr>
        <w:t>added to</w:t>
      </w:r>
      <w:r>
        <w:rPr>
          <w:rFonts w:ascii="Times New Roman" w:hAnsi="Times New Roman" w:cs="Times New Roman"/>
          <w:snapToGrid w:val="0"/>
          <w:kern w:val="2"/>
        </w:rPr>
        <w:t xml:space="preserve"> the NCHU Endowment Fund.</w:t>
      </w:r>
    </w:p>
    <w:p w14:paraId="7C62470E" w14:textId="67E9D05B" w:rsidR="00E44AF4" w:rsidRPr="00085BC4" w:rsidRDefault="008D5691" w:rsidP="00883B5C">
      <w:pPr>
        <w:pStyle w:val="a3"/>
        <w:snapToGrid w:val="0"/>
        <w:ind w:left="1134" w:right="0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Regulations governing the academic development fees referenced in the preceding paragraph shall be formulated separately by the Office of Research and Development.</w:t>
      </w:r>
    </w:p>
    <w:p w14:paraId="614CE87C" w14:textId="46990BCF" w:rsidR="00E44AF4" w:rsidRPr="00085BC4" w:rsidRDefault="00085BC4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8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CB7A8E">
        <w:rPr>
          <w:rFonts w:ascii="Times New Roman" w:hAnsi="Times New Roman" w:cs="Times New Roman"/>
          <w:snapToGrid w:val="0"/>
          <w:kern w:val="2"/>
        </w:rPr>
        <w:t>Faculty members who are seconded to NCHU from another institution shall be entitled to the same rights and be bound by the same obligations as full-time faculty members of the University</w:t>
      </w:r>
      <w:r w:rsidR="00BA2B17">
        <w:rPr>
          <w:rFonts w:ascii="Times New Roman" w:hAnsi="Times New Roman" w:cs="Times New Roman"/>
          <w:snapToGrid w:val="0"/>
          <w:kern w:val="2"/>
        </w:rPr>
        <w:t xml:space="preserve">, including the right to vote and </w:t>
      </w:r>
      <w:r w:rsidR="00C22498">
        <w:rPr>
          <w:rFonts w:ascii="Times New Roman" w:hAnsi="Times New Roman" w:cs="Times New Roman"/>
          <w:snapToGrid w:val="0"/>
          <w:kern w:val="2"/>
        </w:rPr>
        <w:t>stand for elections</w:t>
      </w:r>
      <w:r w:rsidR="003852A6">
        <w:rPr>
          <w:rFonts w:ascii="Times New Roman" w:hAnsi="Times New Roman" w:cs="Times New Roman"/>
          <w:snapToGrid w:val="0"/>
          <w:kern w:val="2"/>
        </w:rPr>
        <w:t xml:space="preserve">. </w:t>
      </w:r>
      <w:r w:rsidR="00C22498">
        <w:rPr>
          <w:rFonts w:ascii="Times New Roman" w:hAnsi="Times New Roman" w:cs="Times New Roman" w:hint="eastAsia"/>
          <w:snapToGrid w:val="0"/>
          <w:kern w:val="2"/>
        </w:rPr>
        <w:t>S</w:t>
      </w:r>
      <w:r w:rsidR="00C22498">
        <w:rPr>
          <w:rFonts w:ascii="Times New Roman" w:hAnsi="Times New Roman" w:cs="Times New Roman"/>
          <w:snapToGrid w:val="0"/>
          <w:kern w:val="2"/>
        </w:rPr>
        <w:t xml:space="preserve">uch faculty members </w:t>
      </w:r>
      <w:r w:rsidR="00EB66F8">
        <w:rPr>
          <w:rFonts w:ascii="Times New Roman" w:hAnsi="Times New Roman" w:cs="Times New Roman"/>
          <w:snapToGrid w:val="0"/>
          <w:kern w:val="2"/>
        </w:rPr>
        <w:t xml:space="preserve">shall be </w:t>
      </w:r>
      <w:r w:rsidR="00C22498">
        <w:rPr>
          <w:rFonts w:ascii="Times New Roman" w:hAnsi="Times New Roman" w:cs="Times New Roman"/>
          <w:snapToGrid w:val="0"/>
          <w:kern w:val="2"/>
        </w:rPr>
        <w:t>eligible to serve as ex officio or elected members on committees and shall be bound by any laws and regulations applicable to full-time and part-time faculty members at the University.</w:t>
      </w:r>
    </w:p>
    <w:p w14:paraId="5E7FB563" w14:textId="268C1931" w:rsidR="00E44AF4" w:rsidRPr="00085BC4" w:rsidRDefault="00085BC4" w:rsidP="00883B5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9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7F2707">
        <w:rPr>
          <w:rFonts w:ascii="Times New Roman" w:hAnsi="Times New Roman" w:cs="Times New Roman"/>
          <w:snapToGrid w:val="0"/>
          <w:kern w:val="2"/>
        </w:rPr>
        <w:t>A n</w:t>
      </w:r>
      <w:r w:rsidR="00D21893">
        <w:rPr>
          <w:rFonts w:ascii="Times New Roman" w:hAnsi="Times New Roman" w:cs="Times New Roman"/>
          <w:snapToGrid w:val="0"/>
          <w:kern w:val="2"/>
        </w:rPr>
        <w:t xml:space="preserve">ewly established department, graduate institute, </w:t>
      </w:r>
      <w:r w:rsidR="00883B5C">
        <w:rPr>
          <w:rFonts w:ascii="Times New Roman" w:hAnsi="Times New Roman" w:cs="Times New Roman"/>
          <w:snapToGrid w:val="0"/>
          <w:kern w:val="2"/>
        </w:rPr>
        <w:t xml:space="preserve">or </w:t>
      </w:r>
      <w:r w:rsidR="00D21893">
        <w:rPr>
          <w:rFonts w:ascii="Times New Roman" w:hAnsi="Times New Roman" w:cs="Times New Roman"/>
          <w:snapToGrid w:val="0"/>
          <w:kern w:val="2"/>
        </w:rPr>
        <w:t xml:space="preserve">college may appoint a faculty member seconded from another institution to serve as </w:t>
      </w:r>
      <w:r w:rsidR="00281C80">
        <w:rPr>
          <w:rFonts w:ascii="Times New Roman" w:hAnsi="Times New Roman" w:cs="Times New Roman"/>
          <w:snapToGrid w:val="0"/>
          <w:kern w:val="2"/>
        </w:rPr>
        <w:t>acting</w:t>
      </w:r>
      <w:r w:rsidR="00D21893">
        <w:rPr>
          <w:rFonts w:ascii="Times New Roman" w:hAnsi="Times New Roman" w:cs="Times New Roman"/>
          <w:snapToGrid w:val="0"/>
          <w:kern w:val="2"/>
        </w:rPr>
        <w:t xml:space="preserve"> chair, director, or dean. </w:t>
      </w:r>
      <w:r w:rsidR="007F2707">
        <w:rPr>
          <w:rFonts w:ascii="Times New Roman" w:hAnsi="Times New Roman" w:cs="Times New Roman"/>
          <w:snapToGrid w:val="0"/>
          <w:kern w:val="2"/>
        </w:rPr>
        <w:t>However, once the secondment period concludes, the academic unit shall appoint a</w:t>
      </w:r>
      <w:r w:rsidR="00D7619A">
        <w:rPr>
          <w:rFonts w:ascii="Times New Roman" w:hAnsi="Times New Roman" w:cs="Times New Roman"/>
          <w:snapToGrid w:val="0"/>
          <w:kern w:val="2"/>
        </w:rPr>
        <w:t xml:space="preserve">n official chair, director, or dean in accordance with the applicable </w:t>
      </w:r>
      <w:r w:rsidR="00883B5C">
        <w:rPr>
          <w:rFonts w:ascii="Times New Roman" w:hAnsi="Times New Roman" w:cs="Times New Roman"/>
          <w:snapToGrid w:val="0"/>
          <w:kern w:val="2"/>
        </w:rPr>
        <w:t>s</w:t>
      </w:r>
      <w:r w:rsidR="00D7619A">
        <w:rPr>
          <w:rFonts w:ascii="Times New Roman" w:hAnsi="Times New Roman" w:cs="Times New Roman"/>
          <w:snapToGrid w:val="0"/>
          <w:kern w:val="2"/>
        </w:rPr>
        <w:t>election regulations.</w:t>
      </w:r>
    </w:p>
    <w:p w14:paraId="645E76B9" w14:textId="5AA253B0" w:rsidR="00E44AF4" w:rsidRPr="00085BC4" w:rsidRDefault="00883B5C" w:rsidP="00883B5C">
      <w:pPr>
        <w:pStyle w:val="a3"/>
        <w:snapToGrid w:val="0"/>
        <w:ind w:left="1134" w:right="11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A teaching </w:t>
      </w:r>
      <w:r w:rsidR="00A8573A">
        <w:rPr>
          <w:rFonts w:ascii="Times New Roman" w:hAnsi="Times New Roman" w:cs="Times New Roman"/>
          <w:snapToGrid w:val="0"/>
          <w:kern w:val="2"/>
        </w:rPr>
        <w:t xml:space="preserve">certificate-holding faculty member </w:t>
      </w:r>
      <w:r w:rsidR="00C2048F">
        <w:rPr>
          <w:rFonts w:ascii="Times New Roman" w:hAnsi="Times New Roman" w:cs="Times New Roman"/>
          <w:snapToGrid w:val="0"/>
          <w:kern w:val="2"/>
        </w:rPr>
        <w:t xml:space="preserve">(research fellow) </w:t>
      </w:r>
      <w:r w:rsidR="00C14FAA">
        <w:rPr>
          <w:rFonts w:ascii="Times New Roman" w:hAnsi="Times New Roman" w:cs="Times New Roman"/>
          <w:snapToGrid w:val="0"/>
          <w:kern w:val="2"/>
        </w:rPr>
        <w:t xml:space="preserve">from </w:t>
      </w:r>
      <w:r>
        <w:rPr>
          <w:rFonts w:ascii="Times New Roman" w:hAnsi="Times New Roman" w:cs="Times New Roman"/>
          <w:snapToGrid w:val="0"/>
          <w:kern w:val="2"/>
        </w:rPr>
        <w:t>an</w:t>
      </w:r>
      <w:r w:rsidR="00C14FAA">
        <w:rPr>
          <w:rFonts w:ascii="Times New Roman" w:hAnsi="Times New Roman" w:cs="Times New Roman"/>
          <w:snapToGrid w:val="0"/>
          <w:kern w:val="2"/>
        </w:rPr>
        <w:t xml:space="preserve">other </w:t>
      </w:r>
      <w:r>
        <w:rPr>
          <w:rFonts w:ascii="Times New Roman" w:hAnsi="Times New Roman" w:cs="Times New Roman"/>
          <w:snapToGrid w:val="0"/>
          <w:kern w:val="2"/>
        </w:rPr>
        <w:t>agency</w:t>
      </w:r>
      <w:r w:rsidR="00EF05A4">
        <w:rPr>
          <w:rFonts w:ascii="Times New Roman" w:hAnsi="Times New Roman" w:cs="Times New Roman"/>
          <w:snapToGrid w:val="0"/>
          <w:kern w:val="2"/>
        </w:rPr>
        <w:t>/ organization</w:t>
      </w:r>
      <w:r w:rsidR="00C14FAA">
        <w:rPr>
          <w:rFonts w:ascii="Times New Roman" w:hAnsi="Times New Roman" w:cs="Times New Roman"/>
          <w:snapToGrid w:val="0"/>
          <w:kern w:val="2"/>
        </w:rPr>
        <w:t xml:space="preserve"> who </w:t>
      </w:r>
      <w:r>
        <w:rPr>
          <w:rFonts w:ascii="Times New Roman" w:hAnsi="Times New Roman" w:cs="Times New Roman"/>
          <w:snapToGrid w:val="0"/>
          <w:kern w:val="2"/>
        </w:rPr>
        <w:t xml:space="preserve">is </w:t>
      </w:r>
      <w:r w:rsidR="00C14FAA">
        <w:rPr>
          <w:rFonts w:ascii="Times New Roman" w:hAnsi="Times New Roman" w:cs="Times New Roman"/>
          <w:snapToGrid w:val="0"/>
          <w:kern w:val="2"/>
        </w:rPr>
        <w:t xml:space="preserve">seconded to NCHU to serve </w:t>
      </w:r>
      <w:r w:rsidR="00700676">
        <w:rPr>
          <w:rFonts w:ascii="Times New Roman" w:hAnsi="Times New Roman" w:cs="Times New Roman"/>
          <w:snapToGrid w:val="0"/>
          <w:kern w:val="2"/>
        </w:rPr>
        <w:t>as a top-level director in an adjunct capacity</w:t>
      </w:r>
      <w:r w:rsidR="007E0D6A">
        <w:rPr>
          <w:rFonts w:ascii="Times New Roman" w:hAnsi="Times New Roman" w:cs="Times New Roman"/>
          <w:snapToGrid w:val="0"/>
          <w:kern w:val="2"/>
        </w:rPr>
        <w:t xml:space="preserve"> may directly be reviewed by the NCHU Faculty Evaluation Committee in accordance with internal administrative procedures,</w:t>
      </w:r>
      <w:r w:rsidR="00700676">
        <w:rPr>
          <w:rFonts w:ascii="Times New Roman" w:hAnsi="Times New Roman" w:cs="Times New Roman"/>
          <w:snapToGrid w:val="0"/>
          <w:kern w:val="2"/>
        </w:rPr>
        <w:t xml:space="preserve"> provided that </w:t>
      </w:r>
      <w:r w:rsidR="007E0D6A">
        <w:rPr>
          <w:rFonts w:ascii="Times New Roman" w:hAnsi="Times New Roman" w:cs="Times New Roman"/>
          <w:snapToGrid w:val="0"/>
          <w:kern w:val="2"/>
        </w:rPr>
        <w:t xml:space="preserve">the </w:t>
      </w:r>
      <w:r w:rsidR="00700676">
        <w:rPr>
          <w:rFonts w:ascii="Times New Roman" w:hAnsi="Times New Roman" w:cs="Times New Roman"/>
          <w:snapToGrid w:val="0"/>
          <w:kern w:val="2"/>
        </w:rPr>
        <w:t xml:space="preserve">secondment has been passed </w:t>
      </w:r>
      <w:r>
        <w:rPr>
          <w:rFonts w:ascii="Times New Roman" w:hAnsi="Times New Roman" w:cs="Times New Roman"/>
          <w:snapToGrid w:val="0"/>
          <w:kern w:val="2"/>
        </w:rPr>
        <w:t xml:space="preserve">by a majority vote in </w:t>
      </w:r>
      <w:r w:rsidR="00700676">
        <w:rPr>
          <w:rFonts w:ascii="Times New Roman" w:hAnsi="Times New Roman" w:cs="Times New Roman"/>
          <w:snapToGrid w:val="0"/>
          <w:kern w:val="2"/>
        </w:rPr>
        <w:t>the competent department (graduate institute) affairs meeting</w:t>
      </w:r>
      <w:r w:rsidR="00DC3305">
        <w:rPr>
          <w:rFonts w:ascii="Times New Roman" w:hAnsi="Times New Roman" w:cs="Times New Roman"/>
          <w:snapToGrid w:val="0"/>
          <w:kern w:val="2"/>
        </w:rPr>
        <w:t xml:space="preserve">. The provisions of Article 5 herein </w:t>
      </w:r>
      <w:r>
        <w:rPr>
          <w:rFonts w:ascii="Times New Roman" w:hAnsi="Times New Roman" w:cs="Times New Roman"/>
          <w:snapToGrid w:val="0"/>
          <w:kern w:val="2"/>
        </w:rPr>
        <w:t xml:space="preserve">shall </w:t>
      </w:r>
      <w:r w:rsidR="00DC3305">
        <w:rPr>
          <w:rFonts w:ascii="Times New Roman" w:hAnsi="Times New Roman" w:cs="Times New Roman"/>
          <w:snapToGrid w:val="0"/>
          <w:kern w:val="2"/>
        </w:rPr>
        <w:t>not apply.</w:t>
      </w:r>
    </w:p>
    <w:p w14:paraId="16FD764B" w14:textId="77777777" w:rsidR="00E44AF4" w:rsidRPr="00085BC4" w:rsidRDefault="00085BC4" w:rsidP="00883B5C">
      <w:pPr>
        <w:pStyle w:val="a3"/>
        <w:snapToGrid w:val="0"/>
        <w:ind w:left="1134" w:right="0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10</w:t>
      </w:r>
      <w:r>
        <w:rPr>
          <w:rFonts w:ascii="Times New Roman" w:hAnsi="Times New Roman" w:cs="Times New Roman"/>
          <w:snapToGrid w:val="0"/>
          <w:kern w:val="2"/>
        </w:rPr>
        <w:tab/>
      </w:r>
      <w:r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>(</w:t>
      </w:r>
      <w:r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Deleted)</w:t>
      </w:r>
    </w:p>
    <w:p w14:paraId="14AFE1FB" w14:textId="77777777" w:rsidR="00E44AF4" w:rsidRPr="00085BC4" w:rsidRDefault="00085BC4" w:rsidP="00883B5C">
      <w:pPr>
        <w:pStyle w:val="a3"/>
        <w:snapToGrid w:val="0"/>
        <w:ind w:left="1134" w:right="0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11</w:t>
      </w:r>
      <w:r>
        <w:rPr>
          <w:rFonts w:ascii="Times New Roman" w:hAnsi="Times New Roman" w:cs="Times New Roman"/>
          <w:snapToGrid w:val="0"/>
          <w:kern w:val="2"/>
        </w:rPr>
        <w:tab/>
        <w:t>These Guidelines and any amendments made hereto shall be implemented upon approval by the Administrative Meeting.</w:t>
      </w:r>
    </w:p>
    <w:sectPr w:rsidR="00E44AF4" w:rsidRPr="00085BC4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937F" w14:textId="77777777" w:rsidR="003D6B15" w:rsidRDefault="003D6B15" w:rsidP="00661F99">
      <w:r>
        <w:separator/>
      </w:r>
    </w:p>
  </w:endnote>
  <w:endnote w:type="continuationSeparator" w:id="0">
    <w:p w14:paraId="4341470D" w14:textId="77777777" w:rsidR="003D6B15" w:rsidRDefault="003D6B15" w:rsidP="0066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4213" w14:textId="77777777" w:rsidR="003D6B15" w:rsidRDefault="003D6B15" w:rsidP="00661F99">
      <w:r>
        <w:separator/>
      </w:r>
    </w:p>
  </w:footnote>
  <w:footnote w:type="continuationSeparator" w:id="0">
    <w:p w14:paraId="7C57C185" w14:textId="77777777" w:rsidR="003D6B15" w:rsidRDefault="003D6B15" w:rsidP="0066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F4"/>
    <w:rsid w:val="00060757"/>
    <w:rsid w:val="000746BB"/>
    <w:rsid w:val="00085BC4"/>
    <w:rsid w:val="00093270"/>
    <w:rsid w:val="000D5D78"/>
    <w:rsid w:val="000F34B7"/>
    <w:rsid w:val="000F4EB1"/>
    <w:rsid w:val="00146C90"/>
    <w:rsid w:val="0016498A"/>
    <w:rsid w:val="00180F9D"/>
    <w:rsid w:val="001A7EA7"/>
    <w:rsid w:val="00206924"/>
    <w:rsid w:val="00213907"/>
    <w:rsid w:val="0022773F"/>
    <w:rsid w:val="002304C5"/>
    <w:rsid w:val="0027015F"/>
    <w:rsid w:val="00281C80"/>
    <w:rsid w:val="0028218D"/>
    <w:rsid w:val="002A17C0"/>
    <w:rsid w:val="002A412A"/>
    <w:rsid w:val="002B39AF"/>
    <w:rsid w:val="002C08A0"/>
    <w:rsid w:val="002C29B1"/>
    <w:rsid w:val="002D14BC"/>
    <w:rsid w:val="00311ED3"/>
    <w:rsid w:val="003227FB"/>
    <w:rsid w:val="00333EBF"/>
    <w:rsid w:val="00383172"/>
    <w:rsid w:val="003852A6"/>
    <w:rsid w:val="003A2EBA"/>
    <w:rsid w:val="003B4EDA"/>
    <w:rsid w:val="003D6B15"/>
    <w:rsid w:val="0042674A"/>
    <w:rsid w:val="00443E6D"/>
    <w:rsid w:val="00457AC7"/>
    <w:rsid w:val="004A1893"/>
    <w:rsid w:val="004A2874"/>
    <w:rsid w:val="004A6523"/>
    <w:rsid w:val="004B7008"/>
    <w:rsid w:val="004C5E8A"/>
    <w:rsid w:val="00517E8E"/>
    <w:rsid w:val="005461B0"/>
    <w:rsid w:val="0054793D"/>
    <w:rsid w:val="00566C98"/>
    <w:rsid w:val="005C228C"/>
    <w:rsid w:val="005C675F"/>
    <w:rsid w:val="005D3D2F"/>
    <w:rsid w:val="00607A96"/>
    <w:rsid w:val="006602DD"/>
    <w:rsid w:val="00661F99"/>
    <w:rsid w:val="006715A0"/>
    <w:rsid w:val="006851B2"/>
    <w:rsid w:val="006A2535"/>
    <w:rsid w:val="006B2B1A"/>
    <w:rsid w:val="006B2EB4"/>
    <w:rsid w:val="006C310C"/>
    <w:rsid w:val="006F0E6D"/>
    <w:rsid w:val="00700676"/>
    <w:rsid w:val="00721400"/>
    <w:rsid w:val="007A75F4"/>
    <w:rsid w:val="007B0A1B"/>
    <w:rsid w:val="007E0D6A"/>
    <w:rsid w:val="007F2707"/>
    <w:rsid w:val="00830988"/>
    <w:rsid w:val="00857CFA"/>
    <w:rsid w:val="00883B5C"/>
    <w:rsid w:val="008A5484"/>
    <w:rsid w:val="008D5691"/>
    <w:rsid w:val="008E4D3B"/>
    <w:rsid w:val="008F1EF4"/>
    <w:rsid w:val="00905FA3"/>
    <w:rsid w:val="00946DB7"/>
    <w:rsid w:val="00981FF9"/>
    <w:rsid w:val="009A768B"/>
    <w:rsid w:val="009E652D"/>
    <w:rsid w:val="009F3AB4"/>
    <w:rsid w:val="00A43208"/>
    <w:rsid w:val="00A47936"/>
    <w:rsid w:val="00A54CEB"/>
    <w:rsid w:val="00A63B6B"/>
    <w:rsid w:val="00A8573A"/>
    <w:rsid w:val="00A904B4"/>
    <w:rsid w:val="00A93915"/>
    <w:rsid w:val="00AD4A91"/>
    <w:rsid w:val="00AF6D69"/>
    <w:rsid w:val="00B248AE"/>
    <w:rsid w:val="00B3511E"/>
    <w:rsid w:val="00B7586B"/>
    <w:rsid w:val="00BA037E"/>
    <w:rsid w:val="00BA2B17"/>
    <w:rsid w:val="00C1123A"/>
    <w:rsid w:val="00C14FAA"/>
    <w:rsid w:val="00C2048F"/>
    <w:rsid w:val="00C22498"/>
    <w:rsid w:val="00CA0100"/>
    <w:rsid w:val="00CA3918"/>
    <w:rsid w:val="00CB7A8E"/>
    <w:rsid w:val="00CE068E"/>
    <w:rsid w:val="00CF55B7"/>
    <w:rsid w:val="00D21893"/>
    <w:rsid w:val="00D3123C"/>
    <w:rsid w:val="00D7619A"/>
    <w:rsid w:val="00D8339A"/>
    <w:rsid w:val="00DB6C42"/>
    <w:rsid w:val="00DC1DB6"/>
    <w:rsid w:val="00DC3305"/>
    <w:rsid w:val="00DC7368"/>
    <w:rsid w:val="00E44AF4"/>
    <w:rsid w:val="00E675D6"/>
    <w:rsid w:val="00E76AAC"/>
    <w:rsid w:val="00EB66F8"/>
    <w:rsid w:val="00EC3344"/>
    <w:rsid w:val="00EE43EC"/>
    <w:rsid w:val="00EF05A4"/>
    <w:rsid w:val="00EF45FD"/>
    <w:rsid w:val="00EF70A4"/>
    <w:rsid w:val="00F32FD5"/>
    <w:rsid w:val="00F54D08"/>
    <w:rsid w:val="00F54D5A"/>
    <w:rsid w:val="00F905BC"/>
    <w:rsid w:val="00F9260D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45152"/>
  <w15:docId w15:val="{8003E995-EA8D-444B-88FD-B382328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92" w:right="11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FD23B5"/>
    <w:pPr>
      <w:widowControl/>
      <w:autoSpaceDE/>
      <w:autoSpaceDN/>
    </w:pPr>
    <w:rPr>
      <w:rFonts w:ascii="標楷體" w:eastAsia="標楷體" w:hAnsi="標楷體" w:cs="標楷體"/>
    </w:rPr>
  </w:style>
  <w:style w:type="character" w:styleId="a6">
    <w:name w:val="annotation reference"/>
    <w:basedOn w:val="a0"/>
    <w:uiPriority w:val="99"/>
    <w:semiHidden/>
    <w:unhideWhenUsed/>
    <w:rsid w:val="00EF70A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F70A4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rsid w:val="00EF70A4"/>
    <w:rPr>
      <w:rFonts w:ascii="標楷體" w:eastAsia="標楷體" w:hAnsi="標楷體" w:cs="標楷體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70A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F70A4"/>
    <w:rPr>
      <w:rFonts w:ascii="標楷體" w:eastAsia="標楷體" w:hAnsi="標楷體" w:cs="標楷體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61F99"/>
    <w:pPr>
      <w:tabs>
        <w:tab w:val="center" w:pos="4680"/>
        <w:tab w:val="right" w:pos="9360"/>
      </w:tabs>
    </w:pPr>
  </w:style>
  <w:style w:type="character" w:customStyle="1" w:styleId="ac">
    <w:name w:val="頁首 字元"/>
    <w:basedOn w:val="a0"/>
    <w:link w:val="ab"/>
    <w:uiPriority w:val="99"/>
    <w:rsid w:val="00661F99"/>
    <w:rPr>
      <w:rFonts w:ascii="標楷體" w:eastAsia="標楷體" w:hAnsi="標楷體" w:cs="標楷體"/>
    </w:rPr>
  </w:style>
  <w:style w:type="paragraph" w:styleId="ad">
    <w:name w:val="footer"/>
    <w:basedOn w:val="a"/>
    <w:link w:val="ae"/>
    <w:uiPriority w:val="99"/>
    <w:unhideWhenUsed/>
    <w:rsid w:val="00661F99"/>
    <w:pPr>
      <w:tabs>
        <w:tab w:val="center" w:pos="4680"/>
        <w:tab w:val="right" w:pos="9360"/>
      </w:tabs>
    </w:pPr>
  </w:style>
  <w:style w:type="character" w:customStyle="1" w:styleId="ae">
    <w:name w:val="頁尾 字元"/>
    <w:basedOn w:val="a0"/>
    <w:link w:val="ad"/>
    <w:uiPriority w:val="99"/>
    <w:rsid w:val="00661F99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國立中興大學教師借調處理辦法辦法第六條、第十條修正草案條文對照表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國立中興大學教師借調處理辦法辦法第六條、第十條修正草案條文對照表</dc:title>
  <dc:creator>user</dc:creator>
  <cp:lastModifiedBy>立言翻譯</cp:lastModifiedBy>
  <cp:revision>3</cp:revision>
  <dcterms:created xsi:type="dcterms:W3CDTF">2023-12-12T02:36:00Z</dcterms:created>
  <dcterms:modified xsi:type="dcterms:W3CDTF">2023-12-12T03:02:00Z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2023-09-01T00:00:00Z</vt:filetime>
  </property>
</Properties>
</file>